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CC339">
      <w:pPr>
        <w:autoSpaceDE w:val="0"/>
        <w:autoSpaceDN w:val="0"/>
        <w:adjustRightInd w:val="0"/>
        <w:spacing w:line="360" w:lineRule="auto"/>
        <w:jc w:val="center"/>
        <w:rPr>
          <w:rFonts w:hint="eastAsia" w:ascii="方正小标宋简体" w:hAnsi="方正小标宋简体" w:eastAsia="方正小标宋简体" w:cs="方正小标宋简体"/>
          <w:bCs/>
          <w:kern w:val="0"/>
          <w:sz w:val="52"/>
          <w:szCs w:val="52"/>
        </w:rPr>
      </w:pPr>
      <w:r>
        <w:rPr>
          <w:rFonts w:hint="eastAsia" w:ascii="方正小标宋简体" w:hAnsi="方正小标宋简体" w:eastAsia="方正小标宋简体" w:cs="方正小标宋简体"/>
          <w:bCs/>
          <w:kern w:val="0"/>
          <w:sz w:val="52"/>
          <w:szCs w:val="52"/>
        </w:rPr>
        <w:t>江苏省地方标准</w:t>
      </w:r>
      <w:r>
        <w:rPr>
          <w:rFonts w:hint="eastAsia" w:ascii="方正小标宋简体" w:hAnsi="方正小标宋简体" w:eastAsia="方正小标宋简体" w:cs="方正小标宋简体"/>
          <w:bCs/>
          <w:kern w:val="0"/>
          <w:sz w:val="52"/>
          <w:szCs w:val="52"/>
        </w:rPr>
        <w:br w:type="textWrapping"/>
      </w:r>
      <w:r>
        <w:rPr>
          <w:rFonts w:hint="eastAsia" w:ascii="方正小标宋简体" w:hAnsi="方正小标宋简体" w:eastAsia="方正小标宋简体" w:cs="方正小标宋简体"/>
          <w:bCs/>
          <w:spacing w:val="-34"/>
          <w:kern w:val="0"/>
          <w:sz w:val="52"/>
          <w:szCs w:val="52"/>
        </w:rPr>
        <w:t>《</w:t>
      </w:r>
      <w:r>
        <w:rPr>
          <w:rFonts w:hint="eastAsia" w:ascii="方正小标宋简体" w:hAnsi="方正小标宋简体" w:eastAsia="方正小标宋简体" w:cs="方正小标宋简体"/>
          <w:bCs/>
          <w:spacing w:val="-34"/>
          <w:kern w:val="0"/>
          <w:sz w:val="52"/>
          <w:szCs w:val="52"/>
          <w:lang w:val="en-US" w:eastAsia="zh-CN"/>
        </w:rPr>
        <w:t>专利复审请求预审</w:t>
      </w:r>
      <w:r>
        <w:rPr>
          <w:rFonts w:hint="eastAsia" w:ascii="方正小标宋简体" w:hAnsi="方正小标宋简体" w:eastAsia="方正小标宋简体" w:cs="方正小标宋简体"/>
          <w:bCs/>
          <w:spacing w:val="-34"/>
          <w:kern w:val="0"/>
          <w:sz w:val="52"/>
          <w:szCs w:val="52"/>
        </w:rPr>
        <w:t>规范》</w:t>
      </w:r>
      <w:r>
        <w:rPr>
          <w:rFonts w:hint="eastAsia" w:ascii="方正小标宋简体" w:hAnsi="方正小标宋简体" w:eastAsia="方正小标宋简体" w:cs="方正小标宋简体"/>
          <w:bCs/>
          <w:kern w:val="0"/>
          <w:sz w:val="52"/>
          <w:szCs w:val="52"/>
        </w:rPr>
        <w:br w:type="textWrapping"/>
      </w:r>
      <w:r>
        <w:rPr>
          <w:rFonts w:hint="eastAsia" w:ascii="方正小标宋简体" w:hAnsi="方正小标宋简体" w:eastAsia="方正小标宋简体" w:cs="方正小标宋简体"/>
          <w:bCs/>
          <w:kern w:val="0"/>
          <w:sz w:val="52"/>
          <w:szCs w:val="52"/>
        </w:rPr>
        <w:t>（</w:t>
      </w:r>
      <w:r>
        <w:rPr>
          <w:rFonts w:hint="eastAsia" w:ascii="方正小标宋简体" w:hAnsi="方正小标宋简体" w:eastAsia="方正小标宋简体" w:cs="方正小标宋简体"/>
          <w:bCs/>
          <w:kern w:val="0"/>
          <w:sz w:val="52"/>
          <w:szCs w:val="52"/>
          <w:lang w:val="en-US" w:eastAsia="zh-CN"/>
        </w:rPr>
        <w:t>征求意见</w:t>
      </w:r>
      <w:r>
        <w:rPr>
          <w:rFonts w:hint="eastAsia" w:ascii="方正小标宋简体" w:hAnsi="方正小标宋简体" w:eastAsia="方正小标宋简体" w:cs="方正小标宋简体"/>
          <w:bCs/>
          <w:kern w:val="0"/>
          <w:sz w:val="52"/>
          <w:szCs w:val="52"/>
        </w:rPr>
        <w:t>稿）</w:t>
      </w:r>
    </w:p>
    <w:p w14:paraId="4C9133DB">
      <w:pPr>
        <w:autoSpaceDE w:val="0"/>
        <w:autoSpaceDN w:val="0"/>
        <w:adjustRightInd w:val="0"/>
        <w:spacing w:line="360" w:lineRule="auto"/>
        <w:jc w:val="center"/>
        <w:rPr>
          <w:rFonts w:ascii="Times New Roman" w:hAnsi="Times New Roman" w:eastAsia="黑体"/>
          <w:bCs/>
          <w:kern w:val="0"/>
          <w:sz w:val="72"/>
          <w:szCs w:val="72"/>
        </w:rPr>
      </w:pPr>
    </w:p>
    <w:p w14:paraId="26FF1538">
      <w:pPr>
        <w:autoSpaceDE w:val="0"/>
        <w:autoSpaceDN w:val="0"/>
        <w:adjustRightInd w:val="0"/>
        <w:spacing w:line="360" w:lineRule="auto"/>
        <w:jc w:val="center"/>
        <w:rPr>
          <w:rFonts w:ascii="Times New Roman" w:hAnsi="Times New Roman" w:eastAsia="黑体"/>
          <w:bCs/>
          <w:kern w:val="0"/>
          <w:sz w:val="72"/>
          <w:szCs w:val="72"/>
        </w:rPr>
      </w:pPr>
    </w:p>
    <w:p w14:paraId="07E8CA59">
      <w:pPr>
        <w:autoSpaceDE w:val="0"/>
        <w:autoSpaceDN w:val="0"/>
        <w:adjustRightInd w:val="0"/>
        <w:spacing w:line="360" w:lineRule="auto"/>
        <w:jc w:val="center"/>
        <w:rPr>
          <w:rFonts w:ascii="Times New Roman" w:hAnsi="Times New Roman" w:eastAsia="黑体"/>
          <w:bCs/>
          <w:kern w:val="0"/>
          <w:sz w:val="72"/>
          <w:szCs w:val="72"/>
        </w:rPr>
      </w:pPr>
      <w:r>
        <w:rPr>
          <w:rFonts w:ascii="Times New Roman" w:hAnsi="Times New Roman" w:eastAsia="黑体"/>
          <w:bCs/>
          <w:kern w:val="0"/>
          <w:sz w:val="72"/>
          <w:szCs w:val="72"/>
        </w:rPr>
        <w:t>编</w:t>
      </w:r>
    </w:p>
    <w:p w14:paraId="36196800">
      <w:pPr>
        <w:autoSpaceDE w:val="0"/>
        <w:autoSpaceDN w:val="0"/>
        <w:adjustRightInd w:val="0"/>
        <w:spacing w:line="360" w:lineRule="auto"/>
        <w:jc w:val="center"/>
        <w:rPr>
          <w:rFonts w:ascii="Times New Roman" w:hAnsi="Times New Roman" w:eastAsia="黑体"/>
          <w:bCs/>
          <w:kern w:val="0"/>
          <w:sz w:val="72"/>
          <w:szCs w:val="72"/>
        </w:rPr>
      </w:pPr>
      <w:r>
        <w:rPr>
          <w:rFonts w:ascii="Times New Roman" w:hAnsi="Times New Roman" w:eastAsia="黑体"/>
          <w:bCs/>
          <w:kern w:val="0"/>
          <w:sz w:val="72"/>
          <w:szCs w:val="72"/>
        </w:rPr>
        <w:t>制</w:t>
      </w:r>
    </w:p>
    <w:p w14:paraId="5CB8623D">
      <w:pPr>
        <w:autoSpaceDE w:val="0"/>
        <w:autoSpaceDN w:val="0"/>
        <w:adjustRightInd w:val="0"/>
        <w:spacing w:line="360" w:lineRule="auto"/>
        <w:jc w:val="center"/>
        <w:rPr>
          <w:rFonts w:ascii="Times New Roman" w:hAnsi="Times New Roman" w:eastAsia="黑体"/>
          <w:bCs/>
          <w:kern w:val="0"/>
          <w:sz w:val="72"/>
          <w:szCs w:val="72"/>
        </w:rPr>
      </w:pPr>
      <w:r>
        <w:rPr>
          <w:rFonts w:ascii="Times New Roman" w:hAnsi="Times New Roman" w:eastAsia="黑体"/>
          <w:bCs/>
          <w:kern w:val="0"/>
          <w:sz w:val="72"/>
          <w:szCs w:val="72"/>
        </w:rPr>
        <w:t>说</w:t>
      </w:r>
    </w:p>
    <w:p w14:paraId="561CB653">
      <w:pPr>
        <w:autoSpaceDE w:val="0"/>
        <w:autoSpaceDN w:val="0"/>
        <w:adjustRightInd w:val="0"/>
        <w:spacing w:line="360" w:lineRule="auto"/>
        <w:jc w:val="center"/>
        <w:rPr>
          <w:rFonts w:ascii="Times New Roman" w:hAnsi="Times New Roman" w:eastAsia="黑体"/>
          <w:bCs/>
          <w:kern w:val="0"/>
          <w:sz w:val="72"/>
          <w:szCs w:val="72"/>
        </w:rPr>
      </w:pPr>
      <w:r>
        <w:rPr>
          <w:rFonts w:ascii="Times New Roman" w:hAnsi="Times New Roman" w:eastAsia="黑体"/>
          <w:bCs/>
          <w:kern w:val="0"/>
          <w:sz w:val="72"/>
          <w:szCs w:val="72"/>
        </w:rPr>
        <w:t>明</w:t>
      </w:r>
    </w:p>
    <w:p w14:paraId="6FB5A1F7">
      <w:pPr>
        <w:autoSpaceDE w:val="0"/>
        <w:autoSpaceDN w:val="0"/>
        <w:adjustRightInd w:val="0"/>
        <w:spacing w:line="360" w:lineRule="auto"/>
        <w:jc w:val="left"/>
        <w:rPr>
          <w:rFonts w:ascii="Times New Roman" w:hAnsi="Times New Roman"/>
          <w:bCs/>
          <w:kern w:val="0"/>
          <w:sz w:val="32"/>
          <w:szCs w:val="32"/>
        </w:rPr>
      </w:pPr>
    </w:p>
    <w:p w14:paraId="202009F6">
      <w:pPr>
        <w:autoSpaceDE w:val="0"/>
        <w:autoSpaceDN w:val="0"/>
        <w:adjustRightInd w:val="0"/>
        <w:spacing w:line="360" w:lineRule="auto"/>
        <w:jc w:val="center"/>
        <w:rPr>
          <w:rFonts w:ascii="Times New Roman" w:hAnsi="Times New Roman" w:eastAsia="微软雅黑"/>
          <w:bCs/>
          <w:kern w:val="0"/>
          <w:sz w:val="32"/>
          <w:szCs w:val="32"/>
        </w:rPr>
      </w:pPr>
    </w:p>
    <w:p w14:paraId="12C7113A">
      <w:pPr>
        <w:pStyle w:val="2"/>
        <w:rPr>
          <w:rFonts w:ascii="Times New Roman" w:hAnsi="Times New Roman" w:cs="Times New Roman"/>
          <w:lang w:val="en-US" w:bidi="ar-SA"/>
        </w:rPr>
      </w:pPr>
    </w:p>
    <w:p w14:paraId="56301D5A">
      <w:pPr>
        <w:autoSpaceDE w:val="0"/>
        <w:autoSpaceDN w:val="0"/>
        <w:adjustRightInd w:val="0"/>
        <w:spacing w:line="360" w:lineRule="auto"/>
        <w:jc w:val="center"/>
        <w:rPr>
          <w:rFonts w:ascii="Times New Roman" w:hAnsi="Times New Roman" w:eastAsia="方正仿宋_GBK"/>
          <w:b/>
          <w:kern w:val="0"/>
          <w:sz w:val="32"/>
          <w:szCs w:val="32"/>
        </w:rPr>
      </w:pPr>
      <w:r>
        <w:rPr>
          <w:rFonts w:ascii="Times New Roman" w:hAnsi="Times New Roman" w:eastAsia="方正仿宋_GBK"/>
          <w:b/>
          <w:kern w:val="0"/>
          <w:sz w:val="32"/>
          <w:szCs w:val="32"/>
        </w:rPr>
        <w:t>标准起草组</w:t>
      </w:r>
    </w:p>
    <w:p w14:paraId="743DCCA3">
      <w:pPr>
        <w:jc w:val="center"/>
        <w:rPr>
          <w:rFonts w:ascii="Times New Roman" w:hAnsi="Times New Roman" w:eastAsia="方正仿宋_GBK"/>
          <w:b/>
          <w:kern w:val="0"/>
          <w:sz w:val="32"/>
          <w:szCs w:val="32"/>
        </w:rPr>
      </w:pPr>
      <w:r>
        <w:rPr>
          <w:rFonts w:ascii="Times New Roman" w:hAnsi="Times New Roman" w:eastAsia="方正仿宋_GBK"/>
          <w:b/>
          <w:kern w:val="0"/>
          <w:sz w:val="32"/>
          <w:szCs w:val="32"/>
        </w:rPr>
        <w:t>二〇二四年</w:t>
      </w:r>
      <w:r>
        <w:rPr>
          <w:rFonts w:hint="eastAsia" w:ascii="Times New Roman" w:hAnsi="Times New Roman" w:eastAsia="方正仿宋_GBK"/>
          <w:b/>
          <w:kern w:val="0"/>
          <w:sz w:val="32"/>
          <w:szCs w:val="32"/>
          <w:lang w:val="en-US" w:eastAsia="zh-CN"/>
        </w:rPr>
        <w:t>十一</w:t>
      </w:r>
      <w:r>
        <w:rPr>
          <w:rFonts w:ascii="Times New Roman" w:hAnsi="Times New Roman" w:eastAsia="方正仿宋_GBK"/>
          <w:b/>
          <w:kern w:val="0"/>
          <w:sz w:val="32"/>
          <w:szCs w:val="32"/>
        </w:rPr>
        <w:t>月</w:t>
      </w:r>
    </w:p>
    <w:p w14:paraId="2AF9B623">
      <w:pPr>
        <w:jc w:val="center"/>
        <w:rPr>
          <w:rFonts w:hint="eastAsia" w:ascii="方正小标宋_GBK" w:hAnsi="方正小标宋_GBK" w:eastAsia="方正小标宋_GBK" w:cs="方正小标宋_GBK"/>
          <w:sz w:val="44"/>
          <w:szCs w:val="44"/>
        </w:rPr>
        <w:sectPr>
          <w:footerReference r:id="rId3" w:type="default"/>
          <w:footerReference r:id="rId4" w:type="even"/>
          <w:pgSz w:w="11906" w:h="16838"/>
          <w:pgMar w:top="2098" w:right="1474" w:bottom="1984" w:left="1587" w:header="851" w:footer="992" w:gutter="0"/>
          <w:cols w:space="425" w:num="1"/>
          <w:docGrid w:type="lines" w:linePitch="312" w:charSpace="0"/>
        </w:sectPr>
      </w:pPr>
    </w:p>
    <w:p w14:paraId="6BFF3347">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《专利复审</w:t>
      </w:r>
      <w:r>
        <w:rPr>
          <w:rFonts w:hint="eastAsia" w:ascii="方正小标宋简体" w:hAnsi="方正小标宋简体" w:eastAsia="方正小标宋简体" w:cs="方正小标宋简体"/>
          <w:b w:val="0"/>
          <w:bCs w:val="0"/>
          <w:sz w:val="44"/>
          <w:szCs w:val="44"/>
          <w:lang w:val="en-US" w:eastAsia="zh-CN"/>
        </w:rPr>
        <w:t>请求</w:t>
      </w:r>
      <w:r>
        <w:rPr>
          <w:rFonts w:hint="eastAsia" w:ascii="方正小标宋简体" w:hAnsi="方正小标宋简体" w:eastAsia="方正小标宋简体" w:cs="方正小标宋简体"/>
          <w:b w:val="0"/>
          <w:bCs w:val="0"/>
          <w:sz w:val="44"/>
          <w:szCs w:val="44"/>
        </w:rPr>
        <w:t>预审规范》</w:t>
      </w:r>
    </w:p>
    <w:p w14:paraId="558B2311">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地方标准编制说明</w:t>
      </w:r>
    </w:p>
    <w:p w14:paraId="6D42C695">
      <w:pPr>
        <w:jc w:val="center"/>
        <w:rPr>
          <w:rFonts w:hint="eastAsia" w:ascii="方正仿宋_GBK" w:hAnsi="方正仿宋_GBK" w:eastAsia="方正仿宋_GBK" w:cs="方正仿宋_GBK"/>
          <w:sz w:val="32"/>
          <w:szCs w:val="32"/>
        </w:rPr>
      </w:pPr>
    </w:p>
    <w:p w14:paraId="4358879A">
      <w:pPr>
        <w:spacing w:line="580" w:lineRule="exact"/>
        <w:ind w:firstLine="640" w:firstLineChars="200"/>
        <w:rPr>
          <w:rFonts w:ascii="Times New Roman" w:hAnsi="Times New Roman" w:eastAsia="黑体" w:cs="黑体"/>
          <w:sz w:val="32"/>
          <w:szCs w:val="32"/>
        </w:rPr>
      </w:pPr>
      <w:r>
        <w:rPr>
          <w:rFonts w:hint="eastAsia" w:ascii="Times New Roman" w:hAnsi="Times New Roman" w:eastAsia="黑体" w:cs="黑体"/>
          <w:sz w:val="32"/>
          <w:szCs w:val="32"/>
        </w:rPr>
        <w:t>一、目的意义</w:t>
      </w:r>
    </w:p>
    <w:p w14:paraId="67665C7F">
      <w:pPr>
        <w:spacing w:line="580" w:lineRule="exact"/>
        <w:ind w:firstLine="640" w:firstLineChars="200"/>
        <w:rPr>
          <w:rFonts w:ascii="Times New Roman" w:hAnsi="Times New Roman" w:eastAsia="仿宋_GB2312" w:cs="方正仿宋_GBK"/>
          <w:sz w:val="28"/>
          <w:szCs w:val="28"/>
        </w:rPr>
      </w:pPr>
      <w:r>
        <w:rPr>
          <w:rFonts w:hint="eastAsia" w:ascii="Times New Roman" w:hAnsi="Times New Roman" w:eastAsia="仿宋_GB2312" w:cs="仿宋"/>
          <w:sz w:val="32"/>
          <w:szCs w:val="32"/>
        </w:rPr>
        <w:t>当前，我国知识产权事业正逐步向高质量发展迈进，中共中央、国务院印发的《知识产权强国建设纲要（2021－2035年）》、国务院印发的《“十四五”国家知识产权保护和运用规划》、国务院办公厅印发的《关于强化知识产权保护的意见》中均强调要加强知识产权快保护机构建设，而专利复审作为专利申请被驳回后申请人的重要救济途径，当前还存在专利复审的结案时间较长的问题，对创新主体的专利创造过程存在较大影响。基于此，国家知识产权局于2021年在北京市、浙江省、上海浦东新区和南京市4家知识产权保护中心开展“专利复审无效案件多模式审理”试点工作，其中一项重要试点内容是专利复审请求预审服务，旨在提高专利申请被驳回后的复审救济效率。2022年，国家知识产权局在前期试点的经验基础上，又批复南京市等16家知识产权保护中心开展第二批专利复审无效案件多模式审理试点工作，其中江苏省内获得第二批试点的有江苏省知识产权保护中心、南京市知识产权保护中心和苏州市知识产权保护中心，第二批试点工作再次明确试点保护中心可以开通专利复审请求预审业务，以进一步提升知识产权保护中心确权工作效能和服务水平，提升专利申请复审救济效率。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预审规范将在复审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预审流程、审查内容、质量保障等方面提供指引，确保复审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预审服务业务流程规范、审查尺度一致、质量保障到位，确保专利复审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预审服务的先进性、适用性、合理性和科学性。本标准目的在于制定覆盖并适用于全</w:t>
      </w:r>
      <w:r>
        <w:rPr>
          <w:rFonts w:hint="eastAsia" w:ascii="Times New Roman" w:hAnsi="Times New Roman" w:eastAsia="仿宋_GB2312" w:cs="仿宋"/>
          <w:sz w:val="32"/>
          <w:szCs w:val="32"/>
          <w:lang w:val="en-US" w:eastAsia="zh-CN"/>
        </w:rPr>
        <w:t>省</w:t>
      </w:r>
      <w:r>
        <w:rPr>
          <w:rFonts w:hint="eastAsia" w:ascii="Times New Roman" w:hAnsi="Times New Roman" w:eastAsia="仿宋_GB2312" w:cs="仿宋"/>
          <w:sz w:val="32"/>
          <w:szCs w:val="32"/>
        </w:rPr>
        <w:t>全类型专利复审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预审业务的规范性文件，为推动全</w:t>
      </w:r>
      <w:r>
        <w:rPr>
          <w:rFonts w:hint="eastAsia" w:ascii="Times New Roman" w:hAnsi="Times New Roman" w:eastAsia="仿宋_GB2312" w:cs="仿宋"/>
          <w:sz w:val="32"/>
          <w:szCs w:val="32"/>
          <w:lang w:val="en-US" w:eastAsia="zh-CN"/>
        </w:rPr>
        <w:t>省</w:t>
      </w:r>
      <w:r>
        <w:rPr>
          <w:rFonts w:hint="eastAsia" w:ascii="Times New Roman" w:hAnsi="Times New Roman" w:eastAsia="仿宋_GB2312" w:cs="仿宋"/>
          <w:sz w:val="32"/>
          <w:szCs w:val="32"/>
        </w:rPr>
        <w:t>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预审业务健康有序发展提供重要保障。</w:t>
      </w:r>
    </w:p>
    <w:p w14:paraId="256CABF0">
      <w:pPr>
        <w:spacing w:line="580" w:lineRule="exact"/>
        <w:ind w:firstLine="640" w:firstLineChars="200"/>
        <w:rPr>
          <w:rFonts w:ascii="Times New Roman" w:hAnsi="Times New Roman" w:eastAsia="黑体" w:cs="黑体"/>
          <w:sz w:val="32"/>
          <w:szCs w:val="32"/>
        </w:rPr>
      </w:pPr>
      <w:r>
        <w:rPr>
          <w:rFonts w:hint="eastAsia" w:ascii="Times New Roman" w:hAnsi="Times New Roman" w:eastAsia="黑体" w:cs="黑体"/>
          <w:sz w:val="32"/>
          <w:szCs w:val="32"/>
        </w:rPr>
        <w:t>二、任务来源</w:t>
      </w:r>
    </w:p>
    <w:p w14:paraId="2E52E2EE">
      <w:pPr>
        <w:spacing w:line="580" w:lineRule="exact"/>
        <w:ind w:firstLine="640" w:firstLineChars="200"/>
        <w:rPr>
          <w:rFonts w:ascii="Times New Roman" w:hAnsi="Times New Roman" w:eastAsia="仿宋_GB2312" w:cs="仿宋"/>
          <w:sz w:val="32"/>
          <w:szCs w:val="32"/>
        </w:rPr>
      </w:pPr>
      <w:r>
        <w:rPr>
          <w:rFonts w:hint="eastAsia" w:ascii="Times New Roman" w:hAnsi="Times New Roman" w:eastAsia="仿宋_GB2312" w:cs="仿宋"/>
          <w:sz w:val="32"/>
          <w:szCs w:val="32"/>
          <w:lang w:val="en-US" w:eastAsia="zh-CN"/>
        </w:rPr>
        <w:t>本标准由2024年8月江苏省市场监督管理局发布的《关于下达2024年度江苏省地方标准项目计划的通知》（苏市监标〔2024〕143号）批准立项，项目序号308，立项名称为《</w:t>
      </w:r>
      <w:r>
        <w:rPr>
          <w:rFonts w:hint="eastAsia" w:ascii="Times New Roman" w:hAnsi="Times New Roman" w:eastAsia="仿宋_GB2312" w:cs="仿宋"/>
          <w:sz w:val="32"/>
          <w:szCs w:val="32"/>
        </w:rPr>
        <w:t>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预审规范</w:t>
      </w:r>
      <w:r>
        <w:rPr>
          <w:rFonts w:hint="eastAsia" w:ascii="Times New Roman" w:hAnsi="Times New Roman" w:eastAsia="仿宋_GB2312" w:cs="仿宋"/>
          <w:sz w:val="32"/>
          <w:szCs w:val="32"/>
          <w:lang w:val="en-US" w:eastAsia="zh-CN"/>
        </w:rPr>
        <w:t>》，</w:t>
      </w:r>
      <w:r>
        <w:rPr>
          <w:rFonts w:hint="eastAsia" w:ascii="Times New Roman" w:hAnsi="Times New Roman" w:eastAsia="仿宋_GB2312" w:cs="仿宋"/>
          <w:sz w:val="32"/>
          <w:szCs w:val="32"/>
        </w:rPr>
        <w:t>该标准由</w:t>
      </w:r>
      <w:r>
        <w:rPr>
          <w:rFonts w:hint="eastAsia" w:ascii="Times New Roman" w:hAnsi="Times New Roman" w:eastAsia="仿宋_GB2312" w:cs="仿宋"/>
          <w:sz w:val="32"/>
          <w:szCs w:val="32"/>
          <w:lang w:val="en-US" w:eastAsia="zh-CN"/>
        </w:rPr>
        <w:t>江苏省</w:t>
      </w:r>
      <w:r>
        <w:rPr>
          <w:rFonts w:hint="eastAsia" w:ascii="Times New Roman" w:hAnsi="Times New Roman" w:eastAsia="仿宋_GB2312" w:cs="仿宋"/>
          <w:sz w:val="32"/>
          <w:szCs w:val="32"/>
        </w:rPr>
        <w:t>知识产权局提出并归口。</w:t>
      </w:r>
    </w:p>
    <w:p w14:paraId="00727F6E">
      <w:pPr>
        <w:spacing w:line="580" w:lineRule="exact"/>
        <w:ind w:firstLine="640" w:firstLineChars="200"/>
        <w:rPr>
          <w:rFonts w:ascii="Times New Roman" w:hAnsi="Times New Roman" w:eastAsia="仿宋_GB2312" w:cs="仿宋"/>
          <w:sz w:val="32"/>
          <w:szCs w:val="32"/>
        </w:rPr>
      </w:pPr>
      <w:r>
        <w:rPr>
          <w:rFonts w:hint="eastAsia" w:ascii="Times New Roman" w:hAnsi="Times New Roman" w:eastAsia="仿宋_GB2312" w:cs="仿宋"/>
          <w:sz w:val="32"/>
          <w:szCs w:val="32"/>
        </w:rPr>
        <w:t>标准由南京市知识产权保护中心牵头起草。</w:t>
      </w:r>
    </w:p>
    <w:p w14:paraId="4951121F">
      <w:pPr>
        <w:numPr>
          <w:ilvl w:val="0"/>
          <w:numId w:val="1"/>
        </w:numPr>
        <w:spacing w:line="580" w:lineRule="exact"/>
        <w:ind w:firstLine="640" w:firstLineChars="200"/>
        <w:rPr>
          <w:rFonts w:ascii="Times New Roman" w:hAnsi="Times New Roman" w:eastAsia="仿宋" w:cs="仿宋"/>
          <w:sz w:val="32"/>
          <w:szCs w:val="32"/>
        </w:rPr>
      </w:pPr>
      <w:r>
        <w:rPr>
          <w:rFonts w:hint="eastAsia" w:ascii="Times New Roman" w:hAnsi="Times New Roman" w:eastAsia="黑体" w:cs="黑体"/>
          <w:sz w:val="32"/>
          <w:szCs w:val="32"/>
        </w:rPr>
        <w:t>编制过程</w:t>
      </w:r>
    </w:p>
    <w:p w14:paraId="6C1EB3A4">
      <w:pPr>
        <w:spacing w:line="580" w:lineRule="exact"/>
        <w:ind w:firstLine="640" w:firstLineChars="200"/>
        <w:rPr>
          <w:rFonts w:ascii="Times New Roman" w:hAnsi="Times New Roman" w:eastAsia="仿宋_GB2312" w:cs="仿宋"/>
          <w:sz w:val="32"/>
          <w:szCs w:val="32"/>
        </w:rPr>
      </w:pPr>
      <w:r>
        <w:rPr>
          <w:rFonts w:hint="eastAsia" w:ascii="Times New Roman" w:hAnsi="Times New Roman" w:eastAsia="仿宋_GB2312" w:cs="仿宋"/>
          <w:sz w:val="32"/>
          <w:szCs w:val="32"/>
        </w:rPr>
        <w:t>起草组成立：2</w:t>
      </w:r>
      <w:r>
        <w:rPr>
          <w:rFonts w:ascii="Times New Roman" w:hAnsi="Times New Roman" w:eastAsia="仿宋_GB2312" w:cs="仿宋"/>
          <w:sz w:val="32"/>
          <w:szCs w:val="32"/>
        </w:rPr>
        <w:t>02</w:t>
      </w:r>
      <w:r>
        <w:rPr>
          <w:rFonts w:hint="eastAsia" w:ascii="Times New Roman" w:hAnsi="Times New Roman" w:eastAsia="仿宋_GB2312" w:cs="仿宋"/>
          <w:sz w:val="32"/>
          <w:szCs w:val="32"/>
          <w:lang w:val="en-US" w:eastAsia="zh-CN"/>
        </w:rPr>
        <w:t>4</w:t>
      </w:r>
      <w:r>
        <w:rPr>
          <w:rFonts w:hint="eastAsia" w:ascii="Times New Roman" w:hAnsi="Times New Roman" w:eastAsia="仿宋_GB2312" w:cs="仿宋"/>
          <w:sz w:val="32"/>
          <w:szCs w:val="32"/>
        </w:rPr>
        <w:t>年</w:t>
      </w:r>
      <w:r>
        <w:rPr>
          <w:rFonts w:hint="eastAsia" w:ascii="Times New Roman" w:hAnsi="Times New Roman" w:eastAsia="仿宋_GB2312" w:cs="仿宋"/>
          <w:sz w:val="32"/>
          <w:szCs w:val="32"/>
          <w:lang w:val="en-US" w:eastAsia="zh-CN"/>
        </w:rPr>
        <w:t>8</w:t>
      </w:r>
      <w:r>
        <w:rPr>
          <w:rFonts w:hint="eastAsia" w:ascii="Times New Roman" w:hAnsi="Times New Roman" w:eastAsia="仿宋_GB2312" w:cs="仿宋"/>
          <w:sz w:val="32"/>
          <w:szCs w:val="32"/>
        </w:rPr>
        <w:t>月</w:t>
      </w:r>
      <w:r>
        <w:rPr>
          <w:rFonts w:hint="eastAsia" w:ascii="Times New Roman" w:hAnsi="Times New Roman" w:eastAsia="仿宋_GB2312" w:cs="仿宋"/>
          <w:sz w:val="32"/>
          <w:szCs w:val="32"/>
          <w:lang w:val="en-US" w:eastAsia="zh-CN"/>
        </w:rPr>
        <w:t>17</w:t>
      </w:r>
      <w:r>
        <w:rPr>
          <w:rFonts w:hint="eastAsia" w:ascii="Times New Roman" w:hAnsi="Times New Roman" w:eastAsia="仿宋_GB2312" w:cs="仿宋"/>
          <w:sz w:val="32"/>
          <w:szCs w:val="32"/>
        </w:rPr>
        <w:t>日，</w:t>
      </w:r>
      <w:r>
        <w:rPr>
          <w:rFonts w:hint="eastAsia" w:ascii="Times New Roman" w:hAnsi="Times New Roman" w:eastAsia="仿宋_GB2312" w:cs="仿宋"/>
          <w:sz w:val="32"/>
          <w:szCs w:val="32"/>
          <w:lang w:val="en-US" w:eastAsia="zh-CN"/>
        </w:rPr>
        <w:t>标准经江苏省市场监督管理局批准正式立项</w:t>
      </w:r>
      <w:r>
        <w:rPr>
          <w:rFonts w:hint="eastAsia" w:ascii="Times New Roman" w:hAnsi="Times New Roman" w:eastAsia="仿宋_GB2312" w:cs="仿宋"/>
          <w:sz w:val="32"/>
          <w:szCs w:val="32"/>
        </w:rPr>
        <w:t>。2</w:t>
      </w:r>
      <w:r>
        <w:rPr>
          <w:rFonts w:ascii="Times New Roman" w:hAnsi="Times New Roman" w:eastAsia="仿宋_GB2312" w:cs="仿宋"/>
          <w:sz w:val="32"/>
          <w:szCs w:val="32"/>
        </w:rPr>
        <w:t>02</w:t>
      </w:r>
      <w:r>
        <w:rPr>
          <w:rFonts w:hint="eastAsia" w:ascii="Times New Roman" w:hAnsi="Times New Roman" w:eastAsia="仿宋_GB2312" w:cs="仿宋"/>
          <w:sz w:val="32"/>
          <w:szCs w:val="32"/>
          <w:lang w:val="en-US" w:eastAsia="zh-CN"/>
        </w:rPr>
        <w:t>4</w:t>
      </w:r>
      <w:r>
        <w:rPr>
          <w:rFonts w:hint="eastAsia" w:ascii="Times New Roman" w:hAnsi="Times New Roman" w:eastAsia="仿宋_GB2312" w:cs="仿宋"/>
          <w:sz w:val="32"/>
          <w:szCs w:val="32"/>
        </w:rPr>
        <w:t>年</w:t>
      </w:r>
      <w:r>
        <w:rPr>
          <w:rFonts w:hint="eastAsia" w:ascii="Times New Roman" w:hAnsi="Times New Roman" w:eastAsia="仿宋_GB2312" w:cs="仿宋"/>
          <w:sz w:val="32"/>
          <w:szCs w:val="32"/>
          <w:lang w:val="en-US" w:eastAsia="zh-CN"/>
        </w:rPr>
        <w:t>9</w:t>
      </w:r>
      <w:r>
        <w:rPr>
          <w:rFonts w:hint="eastAsia" w:ascii="Times New Roman" w:hAnsi="Times New Roman" w:eastAsia="仿宋_GB2312" w:cs="仿宋"/>
          <w:sz w:val="32"/>
          <w:szCs w:val="32"/>
        </w:rPr>
        <w:t>月</w:t>
      </w:r>
      <w:r>
        <w:rPr>
          <w:rFonts w:hint="eastAsia" w:ascii="Times New Roman" w:hAnsi="Times New Roman" w:eastAsia="仿宋_GB2312" w:cs="仿宋"/>
          <w:sz w:val="32"/>
          <w:szCs w:val="32"/>
          <w:lang w:val="en-US" w:eastAsia="zh-CN"/>
        </w:rPr>
        <w:t>12</w:t>
      </w:r>
      <w:r>
        <w:rPr>
          <w:rFonts w:hint="eastAsia" w:ascii="Times New Roman" w:hAnsi="Times New Roman" w:eastAsia="仿宋_GB2312" w:cs="仿宋"/>
          <w:sz w:val="32"/>
          <w:szCs w:val="32"/>
        </w:rPr>
        <w:t>日，南京市知识产权保护中心发出《关于邀请参加</w:t>
      </w:r>
      <w:r>
        <w:rPr>
          <w:rFonts w:hint="eastAsia" w:ascii="Times New Roman" w:hAnsi="Times New Roman" w:eastAsia="仿宋_GB2312" w:cs="仿宋"/>
          <w:sz w:val="32"/>
          <w:szCs w:val="32"/>
          <w:lang w:val="en-US" w:eastAsia="zh-CN"/>
        </w:rPr>
        <w:t>江苏省</w:t>
      </w:r>
      <w:r>
        <w:rPr>
          <w:rFonts w:hint="eastAsia" w:ascii="Times New Roman" w:hAnsi="Times New Roman" w:eastAsia="仿宋_GB2312" w:cs="仿宋"/>
          <w:sz w:val="32"/>
          <w:szCs w:val="32"/>
        </w:rPr>
        <w:t>地方标准</w:t>
      </w:r>
      <w:r>
        <w:rPr>
          <w:rFonts w:ascii="Times New Roman" w:hAnsi="Times New Roman" w:eastAsia="仿宋_GB2312" w:cs="仿宋"/>
          <w:sz w:val="32"/>
          <w:szCs w:val="32"/>
        </w:rPr>
        <w:t>&lt;</w:t>
      </w:r>
      <w:r>
        <w:rPr>
          <w:rFonts w:hint="eastAsia" w:ascii="Times New Roman" w:hAnsi="Times New Roman" w:eastAsia="仿宋_GB2312" w:cs="仿宋"/>
          <w:sz w:val="32"/>
          <w:szCs w:val="32"/>
        </w:rPr>
        <w:t>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预审规范&gt;编制工作的函》，</w:t>
      </w:r>
      <w:r>
        <w:rPr>
          <w:rFonts w:hint="eastAsia" w:ascii="Times New Roman" w:hAnsi="Times New Roman" w:eastAsia="仿宋_GB2312" w:cs="仿宋"/>
          <w:sz w:val="32"/>
          <w:szCs w:val="32"/>
          <w:lang w:val="en-US" w:eastAsia="zh-CN"/>
        </w:rPr>
        <w:t>在保留原南京市地方标准</w:t>
      </w:r>
      <w:r>
        <w:rPr>
          <w:rFonts w:hint="eastAsia" w:ascii="Times New Roman" w:hAnsi="Times New Roman" w:eastAsia="仿宋_GB2312" w:cs="仿宋"/>
          <w:sz w:val="32"/>
          <w:szCs w:val="32"/>
        </w:rPr>
        <w:t>《专利</w:t>
      </w:r>
      <w:r>
        <w:rPr>
          <w:rFonts w:hint="eastAsia" w:ascii="Times New Roman" w:hAnsi="Times New Roman" w:eastAsia="仿宋_GB2312" w:cs="仿宋"/>
          <w:sz w:val="32"/>
          <w:szCs w:val="32"/>
          <w:lang w:val="en-US" w:eastAsia="zh-CN"/>
        </w:rPr>
        <w:t>复审请求</w:t>
      </w:r>
      <w:r>
        <w:rPr>
          <w:rFonts w:hint="eastAsia" w:ascii="Times New Roman" w:hAnsi="Times New Roman" w:eastAsia="仿宋_GB2312" w:cs="仿宋"/>
          <w:sz w:val="32"/>
          <w:szCs w:val="32"/>
        </w:rPr>
        <w:t>预审规范》</w:t>
      </w:r>
      <w:r>
        <w:rPr>
          <w:rFonts w:hint="eastAsia" w:ascii="Times New Roman" w:hAnsi="Times New Roman" w:eastAsia="仿宋_GB2312" w:cs="仿宋"/>
          <w:sz w:val="32"/>
          <w:szCs w:val="32"/>
          <w:lang w:val="en-US" w:eastAsia="zh-CN"/>
        </w:rPr>
        <w:t>起草单位基础上，定向邀请了江苏省知识产权保护中心、苏州市知识产权保护中心参与起草工作</w:t>
      </w:r>
      <w:r>
        <w:rPr>
          <w:rFonts w:hint="eastAsia" w:ascii="Times New Roman" w:hAnsi="Times New Roman" w:eastAsia="仿宋_GB2312" w:cs="仿宋"/>
          <w:sz w:val="32"/>
          <w:szCs w:val="32"/>
        </w:rPr>
        <w:t>，202</w:t>
      </w:r>
      <w:r>
        <w:rPr>
          <w:rFonts w:hint="eastAsia" w:ascii="Times New Roman" w:hAnsi="Times New Roman" w:eastAsia="仿宋_GB2312" w:cs="仿宋"/>
          <w:sz w:val="32"/>
          <w:szCs w:val="32"/>
          <w:lang w:val="en-US" w:eastAsia="zh-CN"/>
        </w:rPr>
        <w:t>4</w:t>
      </w:r>
      <w:r>
        <w:rPr>
          <w:rFonts w:hint="eastAsia" w:ascii="Times New Roman" w:hAnsi="Times New Roman" w:eastAsia="仿宋_GB2312" w:cs="仿宋"/>
          <w:sz w:val="32"/>
          <w:szCs w:val="32"/>
        </w:rPr>
        <w:t>年</w:t>
      </w:r>
      <w:r>
        <w:rPr>
          <w:rFonts w:hint="eastAsia" w:ascii="Times New Roman" w:hAnsi="Times New Roman" w:eastAsia="仿宋_GB2312" w:cs="仿宋"/>
          <w:sz w:val="32"/>
          <w:szCs w:val="32"/>
          <w:lang w:val="en-US" w:eastAsia="zh-CN"/>
        </w:rPr>
        <w:t>10</w:t>
      </w:r>
      <w:r>
        <w:rPr>
          <w:rFonts w:hint="eastAsia" w:ascii="Times New Roman" w:hAnsi="Times New Roman" w:eastAsia="仿宋_GB2312" w:cs="仿宋"/>
          <w:sz w:val="32"/>
          <w:szCs w:val="32"/>
        </w:rPr>
        <w:t>月</w:t>
      </w:r>
      <w:r>
        <w:rPr>
          <w:rFonts w:hint="eastAsia" w:ascii="Times New Roman" w:hAnsi="Times New Roman" w:eastAsia="仿宋_GB2312" w:cs="仿宋"/>
          <w:sz w:val="32"/>
          <w:szCs w:val="32"/>
          <w:lang w:val="en-US" w:eastAsia="zh-CN"/>
        </w:rPr>
        <w:t>24</w:t>
      </w:r>
      <w:r>
        <w:rPr>
          <w:rFonts w:hint="eastAsia" w:ascii="Times New Roman" w:hAnsi="Times New Roman" w:eastAsia="仿宋_GB2312" w:cs="仿宋"/>
          <w:sz w:val="32"/>
          <w:szCs w:val="32"/>
        </w:rPr>
        <w:t>日，南京市知识产权保护中心组织召开《专利复审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预审规范》项目启动会，</w:t>
      </w:r>
      <w:r>
        <w:rPr>
          <w:rFonts w:hint="eastAsia" w:ascii="Times New Roman" w:hAnsi="Times New Roman" w:eastAsia="仿宋_GB2312" w:cs="仿宋"/>
          <w:sz w:val="32"/>
          <w:szCs w:val="32"/>
          <w:lang w:val="en-US" w:eastAsia="zh-CN"/>
        </w:rPr>
        <w:t>江苏省知识产权保护中心、苏州市知识产权保护中心、</w:t>
      </w:r>
      <w:r>
        <w:rPr>
          <w:rFonts w:hint="eastAsia" w:ascii="Times New Roman" w:hAnsi="Times New Roman" w:eastAsia="仿宋_GB2312" w:cs="仿宋"/>
          <w:sz w:val="32"/>
          <w:szCs w:val="32"/>
        </w:rPr>
        <w:t>江苏省专利代理人协会、南京知识律师事务所、南京苏高专利商标事务所（普通合伙）、南京经纬专利商标代理有限公司、南京纵横知识产权代理有限公司、江苏瑞途律师事务所参与会议，会议对标准项目背景及项目开展情况进行了解读，就标准编制过程中应遵循的科学性、适应性、合理性和先进性原则达成一致，对下一阶段任务分工和进度计划进行部署。标准编制起草组正式成立，经会议讨论形成标准初稿。</w:t>
      </w:r>
    </w:p>
    <w:p w14:paraId="2E753BD1">
      <w:pPr>
        <w:spacing w:line="580" w:lineRule="exact"/>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标准起草：2024年10月24日，标准牵头承担单位南京市知识产权保护中心召开起草组工作会议，就标准初稿的主要内容进行讨论修改：在适用范围中明确本标准适用于“企事业单位办理专利复审请求预审业务”；对标准和术语定义的英文名称进行修改，将“patent reexamination pre-examination”修改为“pre-examination of patent reexamination”；删除“注册阶段”；在受理条件中增加“对于已向国务院专利行政部门提交专利复审请求的案件，预审请求日在收到国务院专利行政部门发出的复审请求受理通知书之后，复审决定书之前”；在预审内容中增加“预审请求理由审查”，并在附录B中增加预审请求理由对应的内容。形成第一次定向征求意见稿。</w:t>
      </w:r>
    </w:p>
    <w:p w14:paraId="628870A7">
      <w:pPr>
        <w:spacing w:line="580" w:lineRule="exact"/>
        <w:ind w:firstLine="640" w:firstLineChars="200"/>
        <w:rPr>
          <w:rFonts w:ascii="Times New Roman" w:hAnsi="Times New Roman" w:eastAsia="黑体" w:cs="黑体"/>
          <w:sz w:val="32"/>
          <w:szCs w:val="32"/>
        </w:rPr>
      </w:pPr>
      <w:bookmarkStart w:id="0" w:name="_GoBack"/>
      <w:bookmarkEnd w:id="0"/>
      <w:r>
        <w:rPr>
          <w:rFonts w:hint="eastAsia" w:ascii="Times New Roman" w:hAnsi="Times New Roman" w:eastAsia="黑体" w:cs="黑体"/>
          <w:sz w:val="32"/>
          <w:szCs w:val="32"/>
        </w:rPr>
        <w:t>四、主要内容技术</w:t>
      </w:r>
      <w:r>
        <w:rPr>
          <w:rFonts w:hint="eastAsia" w:ascii="Times New Roman" w:hAnsi="Times New Roman" w:eastAsia="黑体" w:cs="黑体"/>
          <w:sz w:val="32"/>
          <w:szCs w:val="32"/>
          <w:lang w:val="en-US" w:eastAsia="zh-CN"/>
        </w:rPr>
        <w:t>及</w:t>
      </w:r>
      <w:r>
        <w:rPr>
          <w:rFonts w:hint="eastAsia" w:ascii="Times New Roman" w:hAnsi="Times New Roman" w:eastAsia="黑体" w:cs="黑体"/>
          <w:sz w:val="32"/>
          <w:szCs w:val="32"/>
        </w:rPr>
        <w:t>指标确立</w:t>
      </w:r>
    </w:p>
    <w:p w14:paraId="173645F2">
      <w:pPr>
        <w:spacing w:line="580" w:lineRule="exact"/>
        <w:ind w:firstLine="640"/>
        <w:rPr>
          <w:rFonts w:hint="eastAsia"/>
          <w:lang w:val="en-US" w:eastAsia="zh-CN"/>
        </w:rPr>
      </w:pPr>
      <w:r>
        <w:rPr>
          <w:rFonts w:hint="eastAsia" w:ascii="Times New Roman" w:hAnsi="Times New Roman" w:eastAsia="仿宋_GB2312" w:cs="仿宋"/>
          <w:sz w:val="32"/>
          <w:szCs w:val="32"/>
        </w:rPr>
        <w:t>本标准内容技术指标的确立参考DB32/T 4157-2021 《专利申请预审规范》、GB/T 34833-2017《专利代理机构服务规范》、《中华人民共和国专利法》、《中华人民共和国专利法实施细则》、《专利审查指南2020》、《专利优先审查管理办法》、《关于规范申请专利行为的办法》（国家知识产权局公告第411号），依据行业内术语与定义制定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预审规范。</w:t>
      </w:r>
      <w:r>
        <w:rPr>
          <w:rFonts w:hint="eastAsia" w:ascii="Times New Roman" w:hAnsi="Times New Roman" w:eastAsia="仿宋_GB2312" w:cs="仿宋"/>
          <w:sz w:val="32"/>
          <w:szCs w:val="32"/>
          <w:lang w:val="en-US" w:eastAsia="zh-CN"/>
        </w:rPr>
        <w:t>主要内容如下：</w:t>
      </w:r>
    </w:p>
    <w:p w14:paraId="1EFAEA6F">
      <w:pPr>
        <w:spacing w:line="57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本文件规定了专利复审请求预审业务的业务流程、提交受理阶段、案件预审查阶段、案件反馈阶段、质量保障、保密管理、评价反馈等要求。</w:t>
      </w:r>
    </w:p>
    <w:p w14:paraId="64230DF9">
      <w:pPr>
        <w:spacing w:line="57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本文件适用于企事业单位办理专利复审请求预审业务。</w:t>
      </w:r>
    </w:p>
    <w:p w14:paraId="57ADA198">
      <w:pPr>
        <w:spacing w:line="570" w:lineRule="exact"/>
        <w:ind w:firstLine="640" w:firstLineChars="200"/>
        <w:rPr>
          <w:rFonts w:ascii="仿宋_GB2312" w:hAnsi="黑体" w:eastAsia="仿宋_GB2312"/>
          <w:sz w:val="32"/>
          <w:szCs w:val="32"/>
        </w:rPr>
      </w:pPr>
      <w:r>
        <w:rPr>
          <w:rFonts w:hint="eastAsia" w:ascii="仿宋_GB2312" w:hAnsi="黑体" w:eastAsia="仿宋_GB2312"/>
          <w:sz w:val="32"/>
          <w:szCs w:val="32"/>
        </w:rPr>
        <w:t>本标准包括6个章节，主要内容为：</w:t>
      </w:r>
    </w:p>
    <w:p w14:paraId="7936841F">
      <w:pPr>
        <w:wordWrap w:val="0"/>
        <w:spacing w:line="570" w:lineRule="exact"/>
        <w:ind w:firstLine="640" w:firstLineChars="200"/>
        <w:rPr>
          <w:rFonts w:ascii="仿宋_GB2312" w:hAnsi="黑体" w:eastAsia="仿宋_GB2312"/>
          <w:sz w:val="32"/>
          <w:szCs w:val="32"/>
        </w:rPr>
      </w:pPr>
      <w:r>
        <w:rPr>
          <w:rFonts w:hint="eastAsia" w:ascii="仿宋_GB2312" w:hAnsi="黑体" w:eastAsia="仿宋_GB2312"/>
          <w:sz w:val="32"/>
          <w:szCs w:val="32"/>
        </w:rPr>
        <w:t>第1章 范围：规定了标准的主要内容和适用范围。</w:t>
      </w:r>
    </w:p>
    <w:p w14:paraId="65E52E68">
      <w:pPr>
        <w:wordWrap w:val="0"/>
        <w:spacing w:line="570" w:lineRule="exact"/>
        <w:ind w:firstLine="640" w:firstLineChars="200"/>
        <w:rPr>
          <w:rFonts w:ascii="仿宋_GB2312" w:hAnsi="黑体" w:eastAsia="仿宋_GB2312"/>
          <w:sz w:val="32"/>
          <w:szCs w:val="32"/>
        </w:rPr>
      </w:pPr>
      <w:r>
        <w:rPr>
          <w:rFonts w:hint="eastAsia" w:ascii="仿宋_GB2312" w:hAnsi="黑体" w:eastAsia="仿宋_GB2312"/>
          <w:sz w:val="32"/>
          <w:szCs w:val="32"/>
        </w:rPr>
        <w:t>第2章 规范性引用文件：列出了正文中引用的GB/T 34833、DB32/T 4157等文件。</w:t>
      </w:r>
    </w:p>
    <w:p w14:paraId="355E3CB5">
      <w:pPr>
        <w:wordWrap w:val="0"/>
        <w:spacing w:line="570" w:lineRule="exact"/>
        <w:ind w:firstLine="640" w:firstLineChars="200"/>
        <w:rPr>
          <w:rFonts w:ascii="仿宋_GB2312" w:hAnsi="黑体" w:eastAsia="仿宋_GB2312"/>
          <w:sz w:val="32"/>
          <w:szCs w:val="32"/>
        </w:rPr>
      </w:pPr>
      <w:r>
        <w:rPr>
          <w:rFonts w:hint="eastAsia" w:ascii="仿宋_GB2312" w:hAnsi="黑体" w:eastAsia="仿宋_GB2312"/>
          <w:sz w:val="32"/>
          <w:szCs w:val="32"/>
        </w:rPr>
        <w:t>第3章 术语和定义：主要对</w:t>
      </w:r>
      <w:r>
        <w:rPr>
          <w:rFonts w:hint="eastAsia" w:ascii="仿宋_GB2312" w:hAnsi="黑体" w:eastAsia="仿宋_GB2312"/>
          <w:sz w:val="32"/>
          <w:szCs w:val="32"/>
          <w:lang w:val="en-US" w:eastAsia="zh-CN"/>
        </w:rPr>
        <w:t>专利复审请求预审、专利复审请求预审查机构、请求主体、预审员、案件</w:t>
      </w:r>
      <w:r>
        <w:rPr>
          <w:rFonts w:hint="eastAsia" w:ascii="仿宋_GB2312" w:hAnsi="黑体" w:eastAsia="仿宋_GB2312"/>
          <w:sz w:val="32"/>
          <w:szCs w:val="32"/>
        </w:rPr>
        <w:t>进行了明确的界定。</w:t>
      </w:r>
    </w:p>
    <w:p w14:paraId="03F81AE9">
      <w:pPr>
        <w:wordWrap w:val="0"/>
        <w:spacing w:line="570" w:lineRule="exact"/>
        <w:ind w:firstLine="640" w:firstLineChars="200"/>
        <w:rPr>
          <w:rFonts w:ascii="仿宋_GB2312" w:hAnsi="黑体" w:eastAsia="仿宋_GB2312"/>
          <w:sz w:val="32"/>
          <w:szCs w:val="32"/>
        </w:rPr>
      </w:pPr>
      <w:r>
        <w:rPr>
          <w:rFonts w:hint="eastAsia" w:ascii="仿宋_GB2312" w:hAnsi="黑体" w:eastAsia="仿宋_GB2312"/>
          <w:sz w:val="32"/>
          <w:szCs w:val="32"/>
        </w:rPr>
        <w:t>第4章</w:t>
      </w:r>
      <w:r>
        <w:rPr>
          <w:rFonts w:hint="eastAsia" w:ascii="仿宋_GB2312" w:hAnsi="黑体" w:eastAsia="仿宋_GB2312"/>
          <w:sz w:val="32"/>
          <w:szCs w:val="32"/>
          <w:lang w:val="en-US" w:eastAsia="zh-CN"/>
        </w:rPr>
        <w:t xml:space="preserve"> 业务流程</w:t>
      </w:r>
      <w:r>
        <w:rPr>
          <w:rFonts w:hint="eastAsia" w:ascii="仿宋_GB2312" w:hAnsi="黑体" w:eastAsia="仿宋_GB2312"/>
          <w:sz w:val="32"/>
          <w:szCs w:val="32"/>
        </w:rPr>
        <w:t>：</w:t>
      </w:r>
      <w:r>
        <w:rPr>
          <w:rFonts w:hint="eastAsia" w:ascii="仿宋_GB2312" w:hAnsi="黑体" w:eastAsia="仿宋_GB2312"/>
          <w:sz w:val="32"/>
          <w:szCs w:val="32"/>
          <w:lang w:val="en-US" w:eastAsia="zh-CN"/>
        </w:rPr>
        <w:t>列出了专利复审请求预审业务办理主要流程</w:t>
      </w:r>
      <w:r>
        <w:rPr>
          <w:rFonts w:hint="eastAsia" w:ascii="仿宋_GB2312" w:hAnsi="黑体" w:eastAsia="仿宋_GB2312"/>
          <w:sz w:val="32"/>
          <w:szCs w:val="32"/>
        </w:rPr>
        <w:t>。</w:t>
      </w:r>
    </w:p>
    <w:p w14:paraId="32505036">
      <w:pPr>
        <w:wordWrap w:val="0"/>
        <w:spacing w:line="570" w:lineRule="exact"/>
        <w:ind w:firstLine="640" w:firstLineChars="200"/>
        <w:rPr>
          <w:rFonts w:ascii="仿宋_GB2312" w:hAnsi="黑体" w:eastAsia="仿宋_GB2312"/>
          <w:sz w:val="32"/>
          <w:szCs w:val="32"/>
        </w:rPr>
      </w:pPr>
      <w:r>
        <w:rPr>
          <w:rFonts w:hint="eastAsia" w:ascii="仿宋_GB2312" w:hAnsi="黑体" w:eastAsia="仿宋_GB2312"/>
          <w:sz w:val="32"/>
          <w:szCs w:val="32"/>
        </w:rPr>
        <w:t xml:space="preserve">第5章 </w:t>
      </w:r>
      <w:r>
        <w:rPr>
          <w:rFonts w:hint="eastAsia" w:ascii="仿宋_GB2312" w:hAnsi="黑体" w:eastAsia="仿宋_GB2312"/>
          <w:sz w:val="32"/>
          <w:szCs w:val="32"/>
          <w:lang w:val="en-US" w:eastAsia="zh-CN"/>
        </w:rPr>
        <w:t>受理阶段</w:t>
      </w:r>
      <w:r>
        <w:rPr>
          <w:rFonts w:hint="eastAsia" w:ascii="仿宋_GB2312" w:hAnsi="黑体" w:eastAsia="仿宋_GB2312"/>
          <w:sz w:val="32"/>
          <w:szCs w:val="32"/>
        </w:rPr>
        <w:t>：</w:t>
      </w:r>
      <w:r>
        <w:rPr>
          <w:rFonts w:hint="eastAsia" w:ascii="仿宋_GB2312" w:hAnsi="黑体" w:eastAsia="仿宋_GB2312"/>
          <w:sz w:val="32"/>
          <w:szCs w:val="32"/>
          <w:lang w:val="en-US" w:eastAsia="zh-CN"/>
        </w:rPr>
        <w:t>从受理条件、受理材料、受理结论三个方面</w:t>
      </w:r>
      <w:r>
        <w:rPr>
          <w:rFonts w:hint="eastAsia" w:ascii="仿宋_GB2312" w:hAnsi="黑体" w:eastAsia="仿宋_GB2312"/>
          <w:sz w:val="32"/>
          <w:szCs w:val="32"/>
        </w:rPr>
        <w:t>提出了</w:t>
      </w:r>
      <w:r>
        <w:rPr>
          <w:rFonts w:hint="eastAsia" w:ascii="仿宋_GB2312" w:hAnsi="黑体" w:eastAsia="仿宋_GB2312"/>
          <w:sz w:val="32"/>
          <w:szCs w:val="32"/>
          <w:lang w:val="en-US" w:eastAsia="zh-CN"/>
        </w:rPr>
        <w:t>具体</w:t>
      </w:r>
      <w:r>
        <w:rPr>
          <w:rFonts w:hint="eastAsia" w:ascii="仿宋_GB2312" w:hAnsi="黑体" w:eastAsia="仿宋_GB2312"/>
          <w:sz w:val="32"/>
          <w:szCs w:val="32"/>
        </w:rPr>
        <w:t>要求。</w:t>
      </w:r>
    </w:p>
    <w:p w14:paraId="7C6F7393">
      <w:pPr>
        <w:pStyle w:val="2"/>
        <w:ind w:left="0" w:leftChars="0" w:firstLine="640" w:firstLineChars="200"/>
        <w:rPr>
          <w:rFonts w:hint="eastAsia" w:ascii="Times New Roman" w:hAnsi="Times New Roman" w:eastAsia="仿宋_GB2312" w:cs="仿宋"/>
          <w:b w:val="0"/>
          <w:bCs w:val="0"/>
          <w:kern w:val="2"/>
          <w:sz w:val="32"/>
          <w:szCs w:val="32"/>
          <w:lang w:val="en-US" w:eastAsia="zh-CN" w:bidi="ar-SA"/>
        </w:rPr>
      </w:pPr>
      <w:r>
        <w:rPr>
          <w:rFonts w:hint="eastAsia" w:ascii="仿宋_GB2312" w:hAnsi="黑体" w:eastAsia="仿宋_GB2312" w:cs="Calibri"/>
          <w:b w:val="0"/>
          <w:bCs w:val="0"/>
          <w:kern w:val="2"/>
          <w:sz w:val="32"/>
          <w:szCs w:val="32"/>
          <w:lang w:val="en-US" w:eastAsia="zh-CN" w:bidi="ar-SA"/>
        </w:rPr>
        <w:t>第6章 预审阶段：从预审内容、修改规则和预审结论三个方面提出了具体要求</w:t>
      </w:r>
      <w:r>
        <w:rPr>
          <w:rFonts w:hint="eastAsia" w:ascii="Times New Roman" w:hAnsi="Times New Roman" w:eastAsia="仿宋_GB2312" w:cs="仿宋"/>
          <w:b w:val="0"/>
          <w:bCs w:val="0"/>
          <w:kern w:val="2"/>
          <w:sz w:val="32"/>
          <w:szCs w:val="32"/>
          <w:lang w:val="en-US" w:eastAsia="zh-CN" w:bidi="ar-SA"/>
        </w:rPr>
        <w:t>。</w:t>
      </w:r>
    </w:p>
    <w:p w14:paraId="2A96692C">
      <w:pPr>
        <w:pStyle w:val="2"/>
        <w:ind w:firstLine="640" w:firstLineChars="200"/>
        <w:rPr>
          <w:rFonts w:hint="eastAsia" w:ascii="Times New Roman" w:hAnsi="Times New Roman" w:eastAsia="仿宋_GB2312" w:cs="仿宋"/>
          <w:b w:val="0"/>
          <w:bCs w:val="0"/>
          <w:kern w:val="2"/>
          <w:sz w:val="32"/>
          <w:szCs w:val="32"/>
          <w:lang w:val="en-US" w:eastAsia="zh-CN" w:bidi="ar-SA"/>
        </w:rPr>
      </w:pPr>
      <w:r>
        <w:rPr>
          <w:rFonts w:hint="eastAsia" w:ascii="Times New Roman" w:hAnsi="Times New Roman" w:eastAsia="仿宋_GB2312" w:cs="仿宋"/>
          <w:b w:val="0"/>
          <w:bCs w:val="0"/>
          <w:kern w:val="2"/>
          <w:sz w:val="32"/>
          <w:szCs w:val="32"/>
          <w:lang w:val="en-US" w:eastAsia="zh-CN" w:bidi="ar-SA"/>
        </w:rPr>
        <w:t>第7章  反馈阶段：针对专利复审请求预审的反馈流程明确了具体要求。</w:t>
      </w:r>
    </w:p>
    <w:p w14:paraId="12225A89">
      <w:pPr>
        <w:pStyle w:val="2"/>
        <w:ind w:firstLine="640" w:firstLineChars="200"/>
        <w:rPr>
          <w:rFonts w:hint="default" w:ascii="Times New Roman" w:hAnsi="Times New Roman" w:eastAsia="仿宋_GB2312" w:cs="仿宋"/>
          <w:b w:val="0"/>
          <w:bCs w:val="0"/>
          <w:kern w:val="2"/>
          <w:sz w:val="32"/>
          <w:szCs w:val="32"/>
          <w:lang w:val="en-US" w:eastAsia="zh-CN" w:bidi="ar-SA"/>
        </w:rPr>
      </w:pPr>
      <w:r>
        <w:rPr>
          <w:rFonts w:hint="eastAsia" w:ascii="Times New Roman" w:hAnsi="Times New Roman" w:eastAsia="仿宋_GB2312" w:cs="仿宋"/>
          <w:b w:val="0"/>
          <w:bCs w:val="0"/>
          <w:kern w:val="2"/>
          <w:sz w:val="32"/>
          <w:szCs w:val="32"/>
          <w:lang w:val="en-US" w:eastAsia="zh-CN" w:bidi="ar-SA"/>
        </w:rPr>
        <w:t>第8章  质量保障：规定了专利复审请求预审的质量保障具体要求。</w:t>
      </w:r>
    </w:p>
    <w:p w14:paraId="114AFC8E">
      <w:pPr>
        <w:pStyle w:val="2"/>
        <w:ind w:firstLine="640" w:firstLineChars="200"/>
        <w:rPr>
          <w:rFonts w:hint="default" w:ascii="Times New Roman" w:hAnsi="Times New Roman" w:eastAsia="仿宋_GB2312" w:cs="仿宋"/>
          <w:b w:val="0"/>
          <w:bCs w:val="0"/>
          <w:kern w:val="2"/>
          <w:sz w:val="32"/>
          <w:szCs w:val="32"/>
          <w:lang w:val="en-US" w:eastAsia="zh-CN" w:bidi="ar-SA"/>
        </w:rPr>
      </w:pPr>
      <w:r>
        <w:rPr>
          <w:rFonts w:hint="eastAsia" w:ascii="Times New Roman" w:hAnsi="Times New Roman" w:eastAsia="仿宋_GB2312" w:cs="仿宋"/>
          <w:b w:val="0"/>
          <w:bCs w:val="0"/>
          <w:kern w:val="2"/>
          <w:sz w:val="32"/>
          <w:szCs w:val="32"/>
          <w:lang w:val="en-US" w:eastAsia="zh-CN" w:bidi="ar-SA"/>
        </w:rPr>
        <w:t>第9章  保密管理：规定了专利复审请求预审的保密管理具体要求。</w:t>
      </w:r>
    </w:p>
    <w:p w14:paraId="62047228">
      <w:pPr>
        <w:pStyle w:val="2"/>
        <w:ind w:firstLine="640" w:firstLineChars="200"/>
        <w:rPr>
          <w:rFonts w:hint="default" w:ascii="Times New Roman" w:hAnsi="Times New Roman" w:eastAsia="仿宋_GB2312" w:cs="仿宋"/>
          <w:b w:val="0"/>
          <w:bCs w:val="0"/>
          <w:kern w:val="2"/>
          <w:sz w:val="32"/>
          <w:szCs w:val="32"/>
          <w:lang w:val="en-US" w:eastAsia="zh-CN" w:bidi="ar-SA"/>
        </w:rPr>
      </w:pPr>
      <w:r>
        <w:rPr>
          <w:rFonts w:hint="eastAsia" w:ascii="Times New Roman" w:hAnsi="Times New Roman" w:eastAsia="仿宋_GB2312" w:cs="仿宋"/>
          <w:b w:val="0"/>
          <w:bCs w:val="0"/>
          <w:kern w:val="2"/>
          <w:sz w:val="32"/>
          <w:szCs w:val="32"/>
          <w:lang w:val="en-US" w:eastAsia="zh-CN" w:bidi="ar-SA"/>
        </w:rPr>
        <w:t>第10章 评价反馈：规定了专利复审请求预审的评价反馈具体要求。</w:t>
      </w:r>
    </w:p>
    <w:p w14:paraId="66118898">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Times New Roman" w:hAnsi="Times New Roman" w:eastAsia="黑体" w:cs="Times New Roman"/>
          <w:b w:val="0"/>
          <w:bCs w:val="0"/>
          <w:lang w:val="en-US"/>
        </w:rPr>
      </w:pPr>
      <w:r>
        <w:rPr>
          <w:rFonts w:hint="eastAsia" w:ascii="Times New Roman" w:hAnsi="Times New Roman" w:eastAsia="黑体" w:cs="Times New Roman"/>
          <w:b w:val="0"/>
          <w:bCs w:val="0"/>
          <w:lang w:val="en-US" w:eastAsia="zh-CN"/>
        </w:rPr>
        <w:t>五、重大分歧意见的处理过程和依据</w:t>
      </w:r>
    </w:p>
    <w:p w14:paraId="09C098B1">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lang w:val="en-US" w:eastAsia="zh-CN"/>
        </w:rPr>
      </w:pPr>
      <w:r>
        <w:rPr>
          <w:rFonts w:hint="eastAsia" w:ascii="Times New Roman" w:hAnsi="Times New Roman" w:eastAsia="仿宋" w:cs="Times New Roman"/>
          <w:b w:val="0"/>
          <w:bCs w:val="0"/>
          <w:lang w:val="en-US" w:eastAsia="zh-CN" w:bidi="ar-SA"/>
        </w:rPr>
        <w:t>无重大分歧意见。</w:t>
      </w:r>
    </w:p>
    <w:p w14:paraId="59759837">
      <w:pPr>
        <w:spacing w:line="580" w:lineRule="exact"/>
        <w:ind w:firstLine="640" w:firstLineChars="200"/>
        <w:rPr>
          <w:rFonts w:ascii="Times New Roman" w:hAnsi="Times New Roman" w:eastAsia="黑体" w:cs="黑体"/>
          <w:sz w:val="32"/>
          <w:szCs w:val="32"/>
        </w:rPr>
      </w:pPr>
      <w:r>
        <w:rPr>
          <w:rFonts w:hint="eastAsia" w:ascii="Times New Roman" w:hAnsi="Times New Roman" w:eastAsia="黑体" w:cs="黑体"/>
          <w:sz w:val="32"/>
          <w:szCs w:val="32"/>
          <w:lang w:val="en-US" w:eastAsia="zh-CN"/>
        </w:rPr>
        <w:t>六</w:t>
      </w:r>
      <w:r>
        <w:rPr>
          <w:rFonts w:hint="eastAsia" w:ascii="Times New Roman" w:hAnsi="Times New Roman" w:eastAsia="黑体" w:cs="黑体"/>
          <w:sz w:val="32"/>
          <w:szCs w:val="32"/>
        </w:rPr>
        <w:t>、与相关法律法规和国家标准的关系</w:t>
      </w:r>
    </w:p>
    <w:p w14:paraId="666E643F">
      <w:pPr>
        <w:spacing w:line="580" w:lineRule="exact"/>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现行法律法规和部门规章中已有《中华人民共和国专利法》、《中华人民共和国专利法实施细则》、《专利审查指南2023》涉及专利复审程序内容，其中《中华人民共和国专利法》是为了保护专利权人的合法权益，鼓励发明创造，推动发明创造的应用，促进科学技术进步和经济社会发展而制定的法律。《中华人民共和国专利法实施细则》是根据《中华人民共和国专利法》制定的关于授予专利权的条件、专利的申请、专利申请的审查和批准、专利权的期限、终止和无效、专利权的保护等规定的细则。《专利审查指南2023》是专利法及其实施细则的具体化，是国家知识产权局在受理、审批专利申请时应当遵守的规章。以上法律法规对专利申请复审请求预审程序并没有明确的规定。</w:t>
      </w:r>
    </w:p>
    <w:p w14:paraId="39B18EF0">
      <w:pPr>
        <w:spacing w:line="580" w:lineRule="exact"/>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现行地方标准中有《专利申请预审规范》（DB 32/T 4157-2021）作为江苏省地方标准发布实施，该标准主要内容涉及专利申请预审过程中的业务流程、申请主体备案、代理机构备案及审核、提交受理阶段、案件预审阶段、正式申请阶段、质量保障、保密管理、评价反馈等内容，本标准的内容与专利复审请求预审服务在申请主体备案、代理机构备案、质量保障、保密管理、评价反馈等内容存在相同部分，但是在业务流程、提交受理阶段、案件预审阶段、正式申请阶段存在较大区别。</w:t>
      </w:r>
    </w:p>
    <w:p w14:paraId="7B425E37">
      <w:pPr>
        <w:spacing w:line="580" w:lineRule="exact"/>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现行地方标准中还有南京市地方标准《专利复审请求预审规范》（DB 3201/T 1154-2023）已于2023年7月正式发布实施，</w:t>
      </w:r>
      <w:r>
        <w:rPr>
          <w:rFonts w:hint="eastAsia" w:ascii="Times New Roman" w:hAnsi="Times New Roman" w:eastAsia="仿宋_GB2312" w:cs="仿宋"/>
          <w:sz w:val="32"/>
          <w:szCs w:val="32"/>
          <w:lang w:val="en-US" w:eastAsia="zh-CN"/>
        </w:rPr>
        <w:t>该标准由南京市知识产权保护中心牵头起草，</w:t>
      </w:r>
      <w:r>
        <w:rPr>
          <w:rFonts w:hint="eastAsia" w:ascii="Times New Roman" w:hAnsi="Times New Roman" w:eastAsia="仿宋_GB2312" w:cs="仿宋"/>
          <w:sz w:val="32"/>
          <w:szCs w:val="32"/>
        </w:rPr>
        <w:t>本</w:t>
      </w:r>
      <w:r>
        <w:rPr>
          <w:rFonts w:hint="eastAsia" w:ascii="Times New Roman" w:hAnsi="Times New Roman" w:eastAsia="仿宋_GB2312" w:cs="仿宋"/>
          <w:sz w:val="32"/>
          <w:szCs w:val="32"/>
          <w:lang w:val="en-US" w:eastAsia="zh-CN"/>
        </w:rPr>
        <w:t>标准</w:t>
      </w:r>
      <w:r>
        <w:rPr>
          <w:rFonts w:hint="eastAsia" w:ascii="Times New Roman" w:hAnsi="Times New Roman" w:eastAsia="仿宋_GB2312" w:cs="仿宋"/>
          <w:sz w:val="32"/>
          <w:szCs w:val="32"/>
        </w:rPr>
        <w:t>将该南京市地方标准上升为江苏省地方标准，在全省范围内实施。</w:t>
      </w:r>
    </w:p>
    <w:p w14:paraId="052D997B">
      <w:pPr>
        <w:spacing w:line="580" w:lineRule="exact"/>
        <w:ind w:firstLine="640" w:firstLineChars="200"/>
        <w:rPr>
          <w:rFonts w:ascii="Times New Roman" w:hAnsi="Times New Roman" w:eastAsia="黑体" w:cs="黑体"/>
          <w:sz w:val="32"/>
          <w:szCs w:val="32"/>
        </w:rPr>
      </w:pPr>
      <w:r>
        <w:rPr>
          <w:rFonts w:hint="eastAsia" w:ascii="Times New Roman" w:hAnsi="Times New Roman" w:eastAsia="黑体" w:cs="黑体"/>
          <w:sz w:val="32"/>
          <w:szCs w:val="32"/>
          <w:lang w:val="en-US" w:eastAsia="zh-CN"/>
        </w:rPr>
        <w:t>七</w:t>
      </w:r>
      <w:r>
        <w:rPr>
          <w:rFonts w:hint="eastAsia" w:ascii="Times New Roman" w:hAnsi="Times New Roman" w:eastAsia="黑体" w:cs="黑体"/>
          <w:sz w:val="32"/>
          <w:szCs w:val="32"/>
        </w:rPr>
        <w:t>、实施推广建议</w:t>
      </w:r>
    </w:p>
    <w:p w14:paraId="0483410F">
      <w:pPr>
        <w:spacing w:line="580" w:lineRule="exact"/>
        <w:ind w:firstLine="645"/>
        <w:rPr>
          <w:rFonts w:hint="eastAsia" w:ascii="Times New Roman" w:hAnsi="Times New Roman" w:eastAsia="仿宋_GB2312" w:cs="仿宋"/>
          <w:sz w:val="32"/>
          <w:szCs w:val="32"/>
        </w:rPr>
      </w:pPr>
      <w:r>
        <w:rPr>
          <w:rFonts w:hint="eastAsia" w:ascii="Times New Roman" w:hAnsi="Times New Roman" w:eastAsia="仿宋_GB2312" w:cs="仿宋"/>
          <w:sz w:val="32"/>
          <w:szCs w:val="32"/>
        </w:rPr>
        <w:t>《专利复审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预审规范》作为江苏省首个专利复审领域标准，将服务支撑新一代信息技术产业､生物医药产业､节能环保产业的战略性新兴产业集群，至少覆盖江苏省内近</w:t>
      </w:r>
      <w:r>
        <w:rPr>
          <w:rFonts w:hint="eastAsia" w:ascii="Times New Roman" w:hAnsi="Times New Roman" w:eastAsia="仿宋_GB2312" w:cs="仿宋"/>
          <w:sz w:val="32"/>
          <w:szCs w:val="32"/>
          <w:lang w:val="en-US" w:eastAsia="zh-CN"/>
        </w:rPr>
        <w:t>万</w:t>
      </w:r>
      <w:r>
        <w:rPr>
          <w:rFonts w:hint="eastAsia" w:ascii="Times New Roman" w:hAnsi="Times New Roman" w:eastAsia="仿宋_GB2312" w:cs="仿宋"/>
          <w:sz w:val="32"/>
          <w:szCs w:val="32"/>
        </w:rPr>
        <w:t>家高新技术企业、上</w:t>
      </w:r>
      <w:r>
        <w:rPr>
          <w:rFonts w:hint="eastAsia" w:ascii="Times New Roman" w:hAnsi="Times New Roman" w:eastAsia="仿宋_GB2312" w:cs="仿宋"/>
          <w:sz w:val="32"/>
          <w:szCs w:val="32"/>
          <w:lang w:val="en-US" w:eastAsia="zh-CN"/>
        </w:rPr>
        <w:t>千</w:t>
      </w:r>
      <w:r>
        <w:rPr>
          <w:rFonts w:hint="eastAsia" w:ascii="Times New Roman" w:hAnsi="Times New Roman" w:eastAsia="仿宋_GB2312" w:cs="仿宋"/>
          <w:sz w:val="32"/>
          <w:szCs w:val="32"/>
        </w:rPr>
        <w:t>家专利代理服务机构。专利复审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预审查机构将以此标准作为专利复审预审业务开展的唯一规范，南京市知识产权保护中心将在全</w:t>
      </w:r>
      <w:r>
        <w:rPr>
          <w:rFonts w:hint="eastAsia" w:ascii="Times New Roman" w:hAnsi="Times New Roman" w:eastAsia="仿宋_GB2312" w:cs="仿宋"/>
          <w:sz w:val="32"/>
          <w:szCs w:val="32"/>
          <w:lang w:val="en-US" w:eastAsia="zh-CN"/>
        </w:rPr>
        <w:t>省</w:t>
      </w:r>
      <w:r>
        <w:rPr>
          <w:rFonts w:hint="eastAsia" w:ascii="Times New Roman" w:hAnsi="Times New Roman" w:eastAsia="仿宋_GB2312" w:cs="仿宋"/>
          <w:sz w:val="32"/>
          <w:szCs w:val="32"/>
        </w:rPr>
        <w:t>印发《专利复审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预审规范》作为知识产权“快保护”宣传贯彻的培训教材，并组织至少两场集中宣贯培训会。在实施推广的过程中，专利复审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预审查机构应畅通沟通渠道、统一复审预审尺度、严格遵守复审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预审流程，把控好“高质量复审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预审”标准，以专利复审</w:t>
      </w:r>
      <w:r>
        <w:rPr>
          <w:rFonts w:hint="eastAsia" w:ascii="Times New Roman" w:hAnsi="Times New Roman" w:eastAsia="仿宋_GB2312" w:cs="仿宋"/>
          <w:sz w:val="32"/>
          <w:szCs w:val="32"/>
          <w:lang w:val="en-US" w:eastAsia="zh-CN"/>
        </w:rPr>
        <w:t>请求</w:t>
      </w:r>
      <w:r>
        <w:rPr>
          <w:rFonts w:hint="eastAsia" w:ascii="Times New Roman" w:hAnsi="Times New Roman" w:eastAsia="仿宋_GB2312" w:cs="仿宋"/>
          <w:sz w:val="32"/>
          <w:szCs w:val="32"/>
        </w:rPr>
        <w:t>预审提质增效带动创新质量提升。</w:t>
      </w:r>
    </w:p>
    <w:p w14:paraId="4A32B108">
      <w:pPr>
        <w:pStyle w:val="2"/>
      </w:pP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4F29159-0723-44F1-994D-6FA2C11D2F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5AB689D-5F4F-486A-A60C-B1C7647790CA}"/>
  </w:font>
  <w:font w:name="微软雅黑">
    <w:panose1 w:val="020B0503020204020204"/>
    <w:charset w:val="86"/>
    <w:family w:val="swiss"/>
    <w:pitch w:val="default"/>
    <w:sig w:usb0="80000287" w:usb1="2ACF3C50" w:usb2="00000016" w:usb3="00000000" w:csb0="0004001F" w:csb1="00000000"/>
    <w:embedRegular r:id="rId3" w:fontKey="{496D77DD-10AE-4E84-A674-582E3E185FBE}"/>
  </w:font>
  <w:font w:name="方正小标宋简体">
    <w:panose1 w:val="03000509000000000000"/>
    <w:charset w:val="86"/>
    <w:family w:val="auto"/>
    <w:pitch w:val="default"/>
    <w:sig w:usb0="00000001" w:usb1="080E0000" w:usb2="00000000" w:usb3="00000000" w:csb0="00040000" w:csb1="00000000"/>
    <w:embedRegular r:id="rId4" w:fontKey="{50F03DC7-1902-4640-87FD-0C68EF87EEA2}"/>
  </w:font>
  <w:font w:name="方正仿宋_GBK">
    <w:panose1 w:val="03000509000000000000"/>
    <w:charset w:val="86"/>
    <w:family w:val="script"/>
    <w:pitch w:val="default"/>
    <w:sig w:usb0="00000001" w:usb1="080E0000" w:usb2="00000000" w:usb3="00000000" w:csb0="00040000" w:csb1="00000000"/>
    <w:embedRegular r:id="rId5" w:fontKey="{0A2B8F5E-C84A-4260-BF2B-8A196D8B16DD}"/>
  </w:font>
  <w:font w:name="方正小标宋_GBK">
    <w:panose1 w:val="02000000000000000000"/>
    <w:charset w:val="86"/>
    <w:family w:val="script"/>
    <w:pitch w:val="default"/>
    <w:sig w:usb0="A00002BF" w:usb1="38CF7CFA" w:usb2="00080016" w:usb3="00000000" w:csb0="00040001" w:csb1="00000000"/>
    <w:embedRegular r:id="rId6" w:fontKey="{E18818B3-91F1-4952-B136-ADCBCDDBFA1C}"/>
  </w:font>
  <w:font w:name="仿宋_GB2312">
    <w:panose1 w:val="02010609030101010101"/>
    <w:charset w:val="86"/>
    <w:family w:val="modern"/>
    <w:pitch w:val="default"/>
    <w:sig w:usb0="00000001" w:usb1="080E0000" w:usb2="00000000" w:usb3="00000000" w:csb0="00040000" w:csb1="00000000"/>
    <w:embedRegular r:id="rId7" w:fontKey="{DE78964B-AA71-4363-A096-C00E64CF0891}"/>
  </w:font>
  <w:font w:name="仿宋">
    <w:panose1 w:val="02010609060101010101"/>
    <w:charset w:val="86"/>
    <w:family w:val="modern"/>
    <w:pitch w:val="default"/>
    <w:sig w:usb0="800002BF" w:usb1="38CF7CFA" w:usb2="00000016" w:usb3="00000000" w:csb0="00040001" w:csb1="00000000"/>
    <w:embedRegular r:id="rId8" w:fontKey="{D75A94EF-F6C7-42FC-B66A-83C618B68E4A}"/>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667048"/>
    </w:sdtPr>
    <w:sdtEndPr>
      <w:rPr>
        <w:rFonts w:asciiTheme="minorEastAsia" w:hAnsiTheme="minorEastAsia" w:eastAsiaTheme="minorEastAsia"/>
        <w:sz w:val="28"/>
        <w:szCs w:val="28"/>
      </w:rPr>
    </w:sdtEndPr>
    <w:sdtContent>
      <w:p w14:paraId="13D5694D">
        <w:pPr>
          <w:pStyle w:val="3"/>
          <w:ind w:firstLine="540" w:firstLineChars="300"/>
          <w:rPr>
            <w:rFonts w:asciiTheme="minorEastAsia" w:hAnsiTheme="minorEastAsia" w:eastAsiaTheme="minorEastAsia"/>
            <w:sz w:val="28"/>
            <w:szCs w:val="28"/>
          </w:rPr>
        </w:pPr>
        <w:r>
          <w:t>1</w:t>
        </w:r>
        <w:r>
          <w:rPr>
            <w:rFonts w:asciiTheme="minorEastAsia" w:hAnsiTheme="minorEastAsia" w:eastAsiaTheme="minorEastAsia"/>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E6F0F">
    <w:pPr>
      <w:pStyle w:val="3"/>
      <w:spacing w:line="560" w:lineRule="exact"/>
      <w:ind w:left="210" w:leftChars="100"/>
      <w:jc w:val="right"/>
      <w:rPr>
        <w:rFonts w:ascii="宋体" w:hAnsi="宋体" w:cs="宋体"/>
        <w:sz w:val="28"/>
        <w:szCs w:val="28"/>
      </w:rPr>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PAGE   \* MERGEFORMAT</w:instrText>
    </w:r>
    <w:r>
      <w:rPr>
        <w:rFonts w:ascii="宋体" w:hAnsi="宋体" w:cs="宋体"/>
        <w:sz w:val="28"/>
        <w:szCs w:val="28"/>
      </w:rPr>
      <w:fldChar w:fldCharType="separate"/>
    </w:r>
    <w:r>
      <w:rPr>
        <w:rFonts w:ascii="Times New Roman" w:hAnsi="Times New Roman" w:cs="宋体"/>
        <w:sz w:val="28"/>
        <w:szCs w:val="28"/>
        <w:lang w:val="zh-CN"/>
      </w:rPr>
      <w:t>2</w:t>
    </w:r>
    <w:r>
      <w:rPr>
        <w:rFonts w:ascii="宋体" w:hAnsi="宋体" w:cs="宋体"/>
        <w:sz w:val="28"/>
        <w:szCs w:val="28"/>
      </w:rPr>
      <w:fldChar w:fldCharType="end"/>
    </w:r>
    <w:r>
      <w:rPr>
        <w:rFonts w:ascii="宋体" w:hAnsi="宋体" w:cs="宋体"/>
        <w:sz w:val="28"/>
        <w:szCs w:val="28"/>
      </w:rPr>
      <w:t xml:space="preserve"> —</w:t>
    </w:r>
  </w:p>
  <w:p w14:paraId="3D21DFA2"/>
  <w:p w14:paraId="5FC2C4BC"/>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209170"/>
    <w:multiLevelType w:val="singleLevel"/>
    <w:tmpl w:val="CD209170"/>
    <w:lvl w:ilvl="0" w:tentative="0">
      <w:start w:val="3"/>
      <w:numFmt w:val="chineseCounting"/>
      <w:suff w:val="nothing"/>
      <w:lvlText w:val="%1、"/>
      <w:lvlJc w:val="left"/>
      <w:rPr>
        <w:rFonts w:hint="eastAsia" w:ascii="黑体" w:hAnsi="黑体" w:eastAsia="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jNzM3MzQyZjM2OWI1NTg0MzNkMzc5MjNhZjUwOTQifQ=="/>
  </w:docVars>
  <w:rsids>
    <w:rsidRoot w:val="00ED07DA"/>
    <w:rsid w:val="001A111D"/>
    <w:rsid w:val="001D2178"/>
    <w:rsid w:val="001D2C8A"/>
    <w:rsid w:val="002A4645"/>
    <w:rsid w:val="00322CAC"/>
    <w:rsid w:val="003F1EF3"/>
    <w:rsid w:val="00454812"/>
    <w:rsid w:val="00455E40"/>
    <w:rsid w:val="0047345F"/>
    <w:rsid w:val="004E7A04"/>
    <w:rsid w:val="00522589"/>
    <w:rsid w:val="00535E7A"/>
    <w:rsid w:val="0057239D"/>
    <w:rsid w:val="00584423"/>
    <w:rsid w:val="005B504A"/>
    <w:rsid w:val="006E630C"/>
    <w:rsid w:val="00703514"/>
    <w:rsid w:val="0072530B"/>
    <w:rsid w:val="00750D41"/>
    <w:rsid w:val="007557B2"/>
    <w:rsid w:val="007C5410"/>
    <w:rsid w:val="007E5412"/>
    <w:rsid w:val="008522D6"/>
    <w:rsid w:val="00AF2CAB"/>
    <w:rsid w:val="00B771DC"/>
    <w:rsid w:val="00B94A2D"/>
    <w:rsid w:val="00BF5FF0"/>
    <w:rsid w:val="00C10F27"/>
    <w:rsid w:val="00C14047"/>
    <w:rsid w:val="00CD3CEF"/>
    <w:rsid w:val="00ED07DA"/>
    <w:rsid w:val="00F03F58"/>
    <w:rsid w:val="011D744C"/>
    <w:rsid w:val="01543C57"/>
    <w:rsid w:val="016142F9"/>
    <w:rsid w:val="047D1184"/>
    <w:rsid w:val="049C7DEF"/>
    <w:rsid w:val="063D2F0C"/>
    <w:rsid w:val="06B141BC"/>
    <w:rsid w:val="06ED2799"/>
    <w:rsid w:val="07A36727"/>
    <w:rsid w:val="085041EF"/>
    <w:rsid w:val="08CA1762"/>
    <w:rsid w:val="0B4020D0"/>
    <w:rsid w:val="0B662F05"/>
    <w:rsid w:val="0B6C0A62"/>
    <w:rsid w:val="0C1F1FEC"/>
    <w:rsid w:val="0C803B53"/>
    <w:rsid w:val="0D34040C"/>
    <w:rsid w:val="0D4829AA"/>
    <w:rsid w:val="0E0367E9"/>
    <w:rsid w:val="0F923225"/>
    <w:rsid w:val="10991687"/>
    <w:rsid w:val="10EA7690"/>
    <w:rsid w:val="11304008"/>
    <w:rsid w:val="11F969CD"/>
    <w:rsid w:val="128679E9"/>
    <w:rsid w:val="143262B8"/>
    <w:rsid w:val="15BA5E1A"/>
    <w:rsid w:val="17276132"/>
    <w:rsid w:val="17C52AFB"/>
    <w:rsid w:val="187001DF"/>
    <w:rsid w:val="188E75F7"/>
    <w:rsid w:val="18BA50B0"/>
    <w:rsid w:val="1A693E78"/>
    <w:rsid w:val="1A8C7B66"/>
    <w:rsid w:val="1B683882"/>
    <w:rsid w:val="1BB968FD"/>
    <w:rsid w:val="1C2B73EB"/>
    <w:rsid w:val="1CCF7CB8"/>
    <w:rsid w:val="1D522CDB"/>
    <w:rsid w:val="1DA819EC"/>
    <w:rsid w:val="1E6C3F37"/>
    <w:rsid w:val="20217B55"/>
    <w:rsid w:val="20B16579"/>
    <w:rsid w:val="22342FBD"/>
    <w:rsid w:val="23052BAC"/>
    <w:rsid w:val="25AB3E49"/>
    <w:rsid w:val="273B094A"/>
    <w:rsid w:val="275E288B"/>
    <w:rsid w:val="296C5733"/>
    <w:rsid w:val="2BBD4024"/>
    <w:rsid w:val="2C532BDA"/>
    <w:rsid w:val="2F1C6E0B"/>
    <w:rsid w:val="307408CC"/>
    <w:rsid w:val="307A26B9"/>
    <w:rsid w:val="31110F7A"/>
    <w:rsid w:val="313136FF"/>
    <w:rsid w:val="318F109E"/>
    <w:rsid w:val="31972075"/>
    <w:rsid w:val="32054143"/>
    <w:rsid w:val="33ED425B"/>
    <w:rsid w:val="33F702EF"/>
    <w:rsid w:val="34F10814"/>
    <w:rsid w:val="36CA5847"/>
    <w:rsid w:val="37893954"/>
    <w:rsid w:val="389D76B7"/>
    <w:rsid w:val="39676C75"/>
    <w:rsid w:val="39702E3F"/>
    <w:rsid w:val="39E56B12"/>
    <w:rsid w:val="39F8091D"/>
    <w:rsid w:val="39FB380E"/>
    <w:rsid w:val="3A0A0289"/>
    <w:rsid w:val="3A35633F"/>
    <w:rsid w:val="3B3D79D2"/>
    <w:rsid w:val="3BFA5F2A"/>
    <w:rsid w:val="3C3245BA"/>
    <w:rsid w:val="3C746980"/>
    <w:rsid w:val="3F4D2DDE"/>
    <w:rsid w:val="3FA71C20"/>
    <w:rsid w:val="41A81159"/>
    <w:rsid w:val="42B51D9B"/>
    <w:rsid w:val="42F652E3"/>
    <w:rsid w:val="439D3B2B"/>
    <w:rsid w:val="44B55581"/>
    <w:rsid w:val="44B75E21"/>
    <w:rsid w:val="461A0599"/>
    <w:rsid w:val="46EB5A91"/>
    <w:rsid w:val="472B6499"/>
    <w:rsid w:val="474653BD"/>
    <w:rsid w:val="4AE41175"/>
    <w:rsid w:val="4AE44310"/>
    <w:rsid w:val="4B2D4413"/>
    <w:rsid w:val="4B6D31EC"/>
    <w:rsid w:val="4D922EE6"/>
    <w:rsid w:val="4F8D612B"/>
    <w:rsid w:val="4FC60E49"/>
    <w:rsid w:val="500D0826"/>
    <w:rsid w:val="50895886"/>
    <w:rsid w:val="50FA60E8"/>
    <w:rsid w:val="51112598"/>
    <w:rsid w:val="51474368"/>
    <w:rsid w:val="53394028"/>
    <w:rsid w:val="53FA37B7"/>
    <w:rsid w:val="54290122"/>
    <w:rsid w:val="59513E7A"/>
    <w:rsid w:val="5A0E58C7"/>
    <w:rsid w:val="5AC57402"/>
    <w:rsid w:val="5CD010A2"/>
    <w:rsid w:val="5CE2673B"/>
    <w:rsid w:val="5D3B361F"/>
    <w:rsid w:val="5D8B36D2"/>
    <w:rsid w:val="5DB46785"/>
    <w:rsid w:val="5DFD637E"/>
    <w:rsid w:val="5E1C257C"/>
    <w:rsid w:val="5E974DDA"/>
    <w:rsid w:val="5ED724B0"/>
    <w:rsid w:val="5F16521D"/>
    <w:rsid w:val="5F99148E"/>
    <w:rsid w:val="600C0AFA"/>
    <w:rsid w:val="61D01DD2"/>
    <w:rsid w:val="61DD4747"/>
    <w:rsid w:val="628A03FC"/>
    <w:rsid w:val="63704B06"/>
    <w:rsid w:val="64540CC2"/>
    <w:rsid w:val="64B33C3A"/>
    <w:rsid w:val="65240694"/>
    <w:rsid w:val="65D75707"/>
    <w:rsid w:val="66C13CC1"/>
    <w:rsid w:val="677130A1"/>
    <w:rsid w:val="6841330B"/>
    <w:rsid w:val="68C36416"/>
    <w:rsid w:val="692F585A"/>
    <w:rsid w:val="69433F4E"/>
    <w:rsid w:val="69660E78"/>
    <w:rsid w:val="696E0130"/>
    <w:rsid w:val="69886809"/>
    <w:rsid w:val="69A41627"/>
    <w:rsid w:val="6C262F44"/>
    <w:rsid w:val="6C732067"/>
    <w:rsid w:val="6CAA294A"/>
    <w:rsid w:val="6D394EF9"/>
    <w:rsid w:val="6E300441"/>
    <w:rsid w:val="6EDA6267"/>
    <w:rsid w:val="6F6D3F5B"/>
    <w:rsid w:val="713C6847"/>
    <w:rsid w:val="744A38DF"/>
    <w:rsid w:val="749E21B6"/>
    <w:rsid w:val="74F54BBD"/>
    <w:rsid w:val="750422E5"/>
    <w:rsid w:val="750A4DFD"/>
    <w:rsid w:val="75826F86"/>
    <w:rsid w:val="762C28E4"/>
    <w:rsid w:val="76A258BD"/>
    <w:rsid w:val="77CE4F95"/>
    <w:rsid w:val="784B5110"/>
    <w:rsid w:val="788D2C00"/>
    <w:rsid w:val="799C4EFA"/>
    <w:rsid w:val="7A324A7E"/>
    <w:rsid w:val="7B007056"/>
    <w:rsid w:val="7BC410F7"/>
    <w:rsid w:val="7CDE33C7"/>
    <w:rsid w:val="7CDF5B13"/>
    <w:rsid w:val="7D4C135E"/>
    <w:rsid w:val="7E074257"/>
    <w:rsid w:val="7F64705F"/>
    <w:rsid w:val="7F652F2F"/>
    <w:rsid w:val="7F677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492"/>
    </w:pPr>
    <w:rPr>
      <w:rFonts w:ascii="微软雅黑" w:hAnsi="微软雅黑" w:eastAsia="微软雅黑" w:cs="微软雅黑"/>
      <w:b/>
      <w:bCs/>
      <w:sz w:val="32"/>
      <w:szCs w:val="32"/>
      <w:lang w:val="zh-CN" w:bidi="zh-CN"/>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3091</Words>
  <Characters>3216</Characters>
  <Lines>16</Lines>
  <Paragraphs>4</Paragraphs>
  <TotalTime>0</TotalTime>
  <ScaleCrop>false</ScaleCrop>
  <LinksUpToDate>false</LinksUpToDate>
  <CharactersWithSpaces>3238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2022-11-22T08:46:00Z</dcterms:created>
  <dc:creator>曹坤</dc:creator>
  <cp:lastModifiedBy>Allen Liu</cp:lastModifiedBy>
  <dcterms:modified xsi:type="dcterms:W3CDTF">2024-11-20T01:37:10Z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94A7124E42764FB4B20BF5BEC0D8C531</vt:lpwstr>
  </property>
</Properties>
</file>